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D17D5" w14:textId="77777777" w:rsidR="00CD0759" w:rsidRPr="002D1B37" w:rsidRDefault="00CD0759" w:rsidP="00CD0759">
      <w:pPr>
        <w:spacing w:before="120" w:line="240" w:lineRule="auto"/>
        <w:jc w:val="center"/>
        <w:rPr>
          <w:rFonts w:ascii="Times" w:hAnsi="Times" w:cs="Times"/>
          <w:b/>
          <w:sz w:val="24"/>
          <w:szCs w:val="24"/>
        </w:rPr>
      </w:pPr>
      <w:r w:rsidRPr="002D1B37">
        <w:rPr>
          <w:rFonts w:ascii="Times" w:hAnsi="Times" w:cs="Times"/>
          <w:b/>
          <w:sz w:val="24"/>
          <w:szCs w:val="24"/>
        </w:rPr>
        <w:t>UZASADNIENIE</w:t>
      </w:r>
    </w:p>
    <w:p w14:paraId="423800E6" w14:textId="77777777" w:rsidR="00AD5AA0" w:rsidRPr="002D1B37" w:rsidRDefault="00AD5AA0" w:rsidP="00CD0759">
      <w:pPr>
        <w:spacing w:before="120" w:line="240" w:lineRule="auto"/>
        <w:jc w:val="center"/>
        <w:rPr>
          <w:rFonts w:ascii="Times" w:hAnsi="Times" w:cs="Times"/>
          <w:b/>
          <w:sz w:val="24"/>
          <w:szCs w:val="24"/>
        </w:rPr>
      </w:pPr>
    </w:p>
    <w:p w14:paraId="79874C12" w14:textId="10D37C42" w:rsidR="00CD0759" w:rsidRPr="002D1B37" w:rsidRDefault="00CD0759" w:rsidP="00CD0759">
      <w:pPr>
        <w:pStyle w:val="NIEARTTEKSTtekstnieartykuowanynppodstprawnarozplubpreambua"/>
        <w:rPr>
          <w:rFonts w:eastAsia="Times New Roman" w:cs="Times"/>
          <w:szCs w:val="24"/>
        </w:rPr>
      </w:pPr>
      <w:r w:rsidRPr="002D1B37">
        <w:rPr>
          <w:rFonts w:eastAsia="Times New Roman" w:cs="Times"/>
          <w:szCs w:val="24"/>
        </w:rPr>
        <w:t xml:space="preserve">Projektowane rozporządzenie wykonuje upoważnienie ustawowe zawarte w </w:t>
      </w:r>
      <w:r w:rsidRPr="002D1B37">
        <w:rPr>
          <w:rFonts w:cs="Times"/>
          <w:szCs w:val="24"/>
        </w:rPr>
        <w:t>art. 144 ust. 3 ustawy z dnia 16 lipca 2004 r. – Prawo telekomunikacyjne (Dz. U. z 202</w:t>
      </w:r>
      <w:r w:rsidR="00CD2D9B" w:rsidRPr="002D1B37">
        <w:rPr>
          <w:rFonts w:cs="Times"/>
          <w:szCs w:val="24"/>
        </w:rPr>
        <w:t>2</w:t>
      </w:r>
      <w:r w:rsidRPr="002D1B37">
        <w:rPr>
          <w:rFonts w:cs="Times"/>
          <w:szCs w:val="24"/>
        </w:rPr>
        <w:t xml:space="preserve"> r. poz. </w:t>
      </w:r>
      <w:r w:rsidR="00CD2D9B" w:rsidRPr="002D1B37">
        <w:rPr>
          <w:rFonts w:cs="Times"/>
          <w:szCs w:val="24"/>
        </w:rPr>
        <w:t>1648</w:t>
      </w:r>
      <w:r w:rsidR="00EF50B3" w:rsidRPr="002D1B37">
        <w:rPr>
          <w:rFonts w:cs="Times"/>
          <w:szCs w:val="24"/>
        </w:rPr>
        <w:t xml:space="preserve">, </w:t>
      </w:r>
      <w:r w:rsidR="008D08C9" w:rsidRPr="002D1B37">
        <w:rPr>
          <w:rFonts w:cs="Times"/>
          <w:szCs w:val="24"/>
        </w:rPr>
        <w:t>1933</w:t>
      </w:r>
      <w:r w:rsidR="00EF50B3" w:rsidRPr="002D1B37">
        <w:rPr>
          <w:rFonts w:cs="Times"/>
          <w:szCs w:val="24"/>
        </w:rPr>
        <w:t xml:space="preserve"> i 2581</w:t>
      </w:r>
      <w:r w:rsidRPr="002D1B37">
        <w:rPr>
          <w:rFonts w:cs="Times"/>
          <w:szCs w:val="24"/>
        </w:rPr>
        <w:t xml:space="preserve">) </w:t>
      </w:r>
      <w:r w:rsidRPr="002D1B37">
        <w:rPr>
          <w:rFonts w:eastAsia="Times New Roman" w:cs="Times"/>
          <w:szCs w:val="24"/>
        </w:rPr>
        <w:t>upoważniające ministra właściwego do spraw informatyzacji do rozszerzenia zakresu urządzeń radiowych nadawczych lub nadawczo-odbiorczych, które mogą być używane bez pozwolenia radiowego, kierując się zasadą zwiększania liczby rodzajów takich urządzeń, przy uwzględnieniu potrzeby harmonijnego gospodarowania częstotliwościami, określając</w:t>
      </w:r>
      <w:r w:rsidR="00134506" w:rsidRPr="002D1B37">
        <w:rPr>
          <w:rFonts w:eastAsia="Times New Roman" w:cs="Times"/>
          <w:szCs w:val="24"/>
        </w:rPr>
        <w:t>:</w:t>
      </w:r>
      <w:r w:rsidRPr="002D1B37">
        <w:rPr>
          <w:rFonts w:eastAsia="Times New Roman" w:cs="Times"/>
          <w:szCs w:val="24"/>
        </w:rPr>
        <w:t xml:space="preserve"> warunki używania urządzeń radiowych nadawczych lub nadawczo-odbiorczych, które mogą być używane bez pozwolenia radiowego, w tym w szczególności zakresy wykorzystywanych przez nie częstotliwości, maksymalną moc promieniowaną lub maksymalne natężenie pola magnetycznego oraz obszar używania tych urządzeń, a także rodzaje służb radiokomunikacyjnych. </w:t>
      </w:r>
    </w:p>
    <w:p w14:paraId="567E4A8B" w14:textId="75AF8CB5" w:rsidR="0099748C" w:rsidRPr="002D1B37" w:rsidRDefault="00CD0759" w:rsidP="00DB70EE">
      <w:pPr>
        <w:pStyle w:val="NIEARTTEKSTtekstnieartykuowanynppodstprawnarozplubpreambua"/>
        <w:rPr>
          <w:rFonts w:cs="Times"/>
          <w:i/>
          <w:szCs w:val="24"/>
        </w:rPr>
      </w:pPr>
      <w:r w:rsidRPr="002D1B37">
        <w:rPr>
          <w:rFonts w:eastAsia="Times New Roman" w:cs="Times"/>
          <w:szCs w:val="24"/>
        </w:rPr>
        <w:t>Na podstawie w</w:t>
      </w:r>
      <w:r w:rsidR="00E5362C" w:rsidRPr="002D1B37">
        <w:rPr>
          <w:rFonts w:eastAsia="Times New Roman" w:cs="Times"/>
          <w:szCs w:val="24"/>
        </w:rPr>
        <w:t xml:space="preserve">yżej </w:t>
      </w:r>
      <w:r w:rsidRPr="002D1B37">
        <w:rPr>
          <w:rFonts w:eastAsia="Times New Roman" w:cs="Times"/>
          <w:szCs w:val="24"/>
        </w:rPr>
        <w:t>w</w:t>
      </w:r>
      <w:r w:rsidR="00E5362C" w:rsidRPr="002D1B37">
        <w:rPr>
          <w:rFonts w:eastAsia="Times New Roman" w:cs="Times"/>
          <w:szCs w:val="24"/>
        </w:rPr>
        <w:t>ymienionego</w:t>
      </w:r>
      <w:r w:rsidRPr="002D1B37">
        <w:rPr>
          <w:rFonts w:eastAsia="Times New Roman" w:cs="Times"/>
          <w:szCs w:val="24"/>
        </w:rPr>
        <w:t xml:space="preserve"> przepisu </w:t>
      </w:r>
      <w:r w:rsidR="006506CB" w:rsidRPr="002D1B37">
        <w:rPr>
          <w:rFonts w:eastAsia="Times New Roman" w:cs="Times"/>
          <w:szCs w:val="24"/>
        </w:rPr>
        <w:t xml:space="preserve">aktualnie obowiązuje </w:t>
      </w:r>
      <w:r w:rsidRPr="002D1B37">
        <w:rPr>
          <w:rFonts w:eastAsia="Times New Roman" w:cs="Times"/>
          <w:szCs w:val="24"/>
        </w:rPr>
        <w:t xml:space="preserve">rozporządzenie Ministra Cyfryzacji z dnia 9 lutego 2022 r. w sprawie urządzeń radiowych nadawczych lub nadawczo-odbiorczych, które mogą być używane bez pozwolenia radiowego (Dz. U. </w:t>
      </w:r>
      <w:bookmarkStart w:id="0" w:name="_GoBack"/>
      <w:bookmarkEnd w:id="0"/>
      <w:r w:rsidRPr="002D1B37">
        <w:rPr>
          <w:rFonts w:eastAsia="Times New Roman" w:cs="Times"/>
          <w:szCs w:val="24"/>
        </w:rPr>
        <w:t>poz. 567)</w:t>
      </w:r>
      <w:r w:rsidR="000E4F91" w:rsidRPr="002D1B37">
        <w:rPr>
          <w:rFonts w:eastAsia="Times New Roman" w:cs="Times"/>
          <w:szCs w:val="24"/>
        </w:rPr>
        <w:t>.</w:t>
      </w:r>
      <w:r w:rsidR="00CF4051" w:rsidRPr="002D1B37">
        <w:rPr>
          <w:rFonts w:eastAsia="Times New Roman" w:cs="Times"/>
          <w:szCs w:val="24"/>
        </w:rPr>
        <w:t xml:space="preserve"> Projektowane rozporządzenie ma na celu wprowadzenie szeregu zmian w obowiązującym rozporządzeniu</w:t>
      </w:r>
      <w:r w:rsidR="00020016" w:rsidRPr="002D1B37">
        <w:rPr>
          <w:rFonts w:eastAsia="Times New Roman" w:cs="Times"/>
          <w:szCs w:val="24"/>
        </w:rPr>
        <w:t>,</w:t>
      </w:r>
      <w:r w:rsidR="00CF4051" w:rsidRPr="002D1B37">
        <w:rPr>
          <w:rFonts w:eastAsia="Times New Roman" w:cs="Times"/>
          <w:szCs w:val="24"/>
        </w:rPr>
        <w:t xml:space="preserve"> </w:t>
      </w:r>
      <w:r w:rsidR="00CF4051" w:rsidRPr="002D1B37">
        <w:rPr>
          <w:rFonts w:cs="Times"/>
          <w:szCs w:val="24"/>
        </w:rPr>
        <w:t xml:space="preserve">polegających </w:t>
      </w:r>
      <w:r w:rsidR="00DB70EE" w:rsidRPr="002D1B37">
        <w:rPr>
          <w:rFonts w:cs="Times"/>
          <w:szCs w:val="24"/>
        </w:rPr>
        <w:t>przede wszystkim</w:t>
      </w:r>
      <w:r w:rsidR="00CF4051" w:rsidRPr="002D1B37">
        <w:rPr>
          <w:rFonts w:cs="Times"/>
          <w:szCs w:val="24"/>
        </w:rPr>
        <w:t xml:space="preserve"> na</w:t>
      </w:r>
      <w:r w:rsidR="00CF4051" w:rsidRPr="002D1B37">
        <w:rPr>
          <w:rFonts w:cs="Times"/>
          <w:i/>
          <w:szCs w:val="24"/>
        </w:rPr>
        <w:t xml:space="preserve"> </w:t>
      </w:r>
      <w:r w:rsidR="00DB70EE" w:rsidRPr="002D1B37">
        <w:rPr>
          <w:rFonts w:cs="Times"/>
          <w:szCs w:val="24"/>
        </w:rPr>
        <w:t xml:space="preserve">aktualizacji katalogu urządzeń, których używanie nie wymaga </w:t>
      </w:r>
      <w:r w:rsidR="00020016" w:rsidRPr="002D1B37">
        <w:rPr>
          <w:rFonts w:cs="Times"/>
          <w:szCs w:val="24"/>
        </w:rPr>
        <w:t xml:space="preserve">uzyskania </w:t>
      </w:r>
      <w:r w:rsidR="00DB70EE" w:rsidRPr="002D1B37">
        <w:rPr>
          <w:rFonts w:cs="Times"/>
          <w:szCs w:val="24"/>
        </w:rPr>
        <w:t>pozwolenia radiowego. Dodatkowe zmiany polegają między innymi na</w:t>
      </w:r>
      <w:r w:rsidR="00DB70EE" w:rsidRPr="002D1B37">
        <w:rPr>
          <w:rFonts w:cs="Times"/>
          <w:i/>
          <w:szCs w:val="24"/>
        </w:rPr>
        <w:t xml:space="preserve"> </w:t>
      </w:r>
      <w:r w:rsidR="00CF4051" w:rsidRPr="002D1B37">
        <w:rPr>
          <w:rFonts w:cs="Times"/>
          <w:szCs w:val="24"/>
        </w:rPr>
        <w:t>aktualizacji określeń, oznaczeń, skrótów i symboli używanych w rozporządzeniu i załącznikach</w:t>
      </w:r>
      <w:r w:rsidR="00A64C03" w:rsidRPr="002D1B37">
        <w:rPr>
          <w:rFonts w:cs="Times"/>
          <w:szCs w:val="24"/>
        </w:rPr>
        <w:t xml:space="preserve"> do tego rozporządzenia</w:t>
      </w:r>
      <w:r w:rsidR="00DB70EE" w:rsidRPr="002D1B37">
        <w:rPr>
          <w:rFonts w:cs="Times"/>
          <w:szCs w:val="24"/>
        </w:rPr>
        <w:t>.</w:t>
      </w:r>
      <w:r w:rsidR="0099748C" w:rsidRPr="002D1B37">
        <w:rPr>
          <w:rFonts w:eastAsia="Times New Roman" w:cs="Times"/>
          <w:szCs w:val="24"/>
        </w:rPr>
        <w:t xml:space="preserve"> Na szczególną uwagę zasługują </w:t>
      </w:r>
      <w:r w:rsidR="0099748C" w:rsidRPr="002D1B37">
        <w:rPr>
          <w:rFonts w:eastAsia="Times New Roman" w:cs="Times"/>
          <w:color w:val="000000" w:themeColor="text1"/>
          <w:szCs w:val="24"/>
        </w:rPr>
        <w:t xml:space="preserve">zmiany w załączniku nr 12 dotyczącym urządzeń </w:t>
      </w:r>
      <w:r w:rsidR="0099748C" w:rsidRPr="002D1B37">
        <w:rPr>
          <w:rFonts w:eastAsia="MS Mincho" w:cs="Times"/>
          <w:color w:val="000000" w:themeColor="text1"/>
          <w:szCs w:val="24"/>
        </w:rPr>
        <w:t>ziemskich stacji satelitarnych</w:t>
      </w:r>
      <w:r w:rsidR="0099748C" w:rsidRPr="002D1B37">
        <w:rPr>
          <w:rFonts w:eastAsia="Times New Roman" w:cs="Times"/>
          <w:color w:val="000000" w:themeColor="text1"/>
          <w:szCs w:val="24"/>
        </w:rPr>
        <w:t xml:space="preserve"> działających w służbie radiokomunikacyjnej stałej satelitarnej. </w:t>
      </w:r>
      <w:r w:rsidR="00A64C03" w:rsidRPr="002D1B37">
        <w:rPr>
          <w:rFonts w:eastAsia="Times New Roman" w:cs="Times"/>
          <w:szCs w:val="24"/>
        </w:rPr>
        <w:t xml:space="preserve">Zmiany do niniejszego </w:t>
      </w:r>
      <w:r w:rsidR="0099748C" w:rsidRPr="002D1B37">
        <w:rPr>
          <w:rFonts w:eastAsia="Times New Roman" w:cs="Times"/>
          <w:szCs w:val="24"/>
        </w:rPr>
        <w:t>Załącznik</w:t>
      </w:r>
      <w:r w:rsidR="00A64C03" w:rsidRPr="002D1B37">
        <w:rPr>
          <w:rFonts w:eastAsia="Times New Roman" w:cs="Times"/>
          <w:szCs w:val="24"/>
        </w:rPr>
        <w:t>a</w:t>
      </w:r>
      <w:r w:rsidR="0099748C" w:rsidRPr="002D1B37">
        <w:rPr>
          <w:rFonts w:eastAsia="Times New Roman" w:cs="Times"/>
          <w:szCs w:val="24"/>
        </w:rPr>
        <w:t xml:space="preserve"> został</w:t>
      </w:r>
      <w:r w:rsidR="00A64C03" w:rsidRPr="002D1B37">
        <w:rPr>
          <w:rFonts w:eastAsia="Times New Roman" w:cs="Times"/>
          <w:szCs w:val="24"/>
        </w:rPr>
        <w:t xml:space="preserve">y </w:t>
      </w:r>
      <w:r w:rsidR="0099748C" w:rsidRPr="002D1B37">
        <w:rPr>
          <w:rFonts w:eastAsia="Times New Roman" w:cs="Times"/>
          <w:szCs w:val="24"/>
        </w:rPr>
        <w:t>przygotowan</w:t>
      </w:r>
      <w:r w:rsidR="00A64C03" w:rsidRPr="002D1B37">
        <w:rPr>
          <w:rFonts w:eastAsia="Times New Roman" w:cs="Times"/>
          <w:szCs w:val="24"/>
        </w:rPr>
        <w:t>e</w:t>
      </w:r>
      <w:r w:rsidR="0099748C" w:rsidRPr="002D1B37">
        <w:rPr>
          <w:rFonts w:eastAsia="Times New Roman" w:cs="Times"/>
          <w:szCs w:val="24"/>
        </w:rPr>
        <w:t xml:space="preserve"> w oparciu o decyzje Komitetu Łączności Elektronicznej </w:t>
      </w:r>
      <w:r w:rsidR="00E5362C" w:rsidRPr="002D1B37">
        <w:rPr>
          <w:rFonts w:eastAsia="Times New Roman" w:cs="Times"/>
          <w:szCs w:val="24"/>
        </w:rPr>
        <w:t xml:space="preserve">Europejskiej Konferencji </w:t>
      </w:r>
      <w:r w:rsidR="00E522D8" w:rsidRPr="002D1B37">
        <w:rPr>
          <w:rFonts w:eastAsia="Times New Roman" w:cs="Times"/>
          <w:szCs w:val="24"/>
        </w:rPr>
        <w:t>Pocztowych i Telekomunikacyjnych</w:t>
      </w:r>
      <w:r w:rsidR="00E5362C" w:rsidRPr="002D1B37">
        <w:rPr>
          <w:rFonts w:eastAsia="Times New Roman" w:cs="Times"/>
          <w:szCs w:val="24"/>
        </w:rPr>
        <w:t xml:space="preserve"> </w:t>
      </w:r>
      <w:r w:rsidR="0099748C" w:rsidRPr="002D1B37">
        <w:rPr>
          <w:rFonts w:eastAsia="Times New Roman" w:cs="Times"/>
          <w:szCs w:val="24"/>
        </w:rPr>
        <w:t>(ECC CEPT) odnoszące się do niżej wymienionych rodzajów ziemskich stacji satelitarnych:</w:t>
      </w:r>
    </w:p>
    <w:p w14:paraId="45FEA803" w14:textId="6798D7F9" w:rsidR="0099748C" w:rsidRPr="002D1B37" w:rsidRDefault="0099748C" w:rsidP="0099748C">
      <w:pPr>
        <w:pStyle w:val="NIEARTTEKSTtekstnieartykuowanynppodstprawnarozplubpreambua"/>
        <w:rPr>
          <w:rFonts w:eastAsia="Times New Roman" w:cs="Times"/>
          <w:szCs w:val="24"/>
          <w:lang w:val="en-GB"/>
        </w:rPr>
      </w:pPr>
      <w:r w:rsidRPr="002D1B37">
        <w:rPr>
          <w:rFonts w:eastAsia="Times New Roman" w:cs="Times"/>
          <w:szCs w:val="24"/>
          <w:lang w:val="en-GB"/>
        </w:rPr>
        <w:t>1) typu MST ME</w:t>
      </w:r>
      <w:r w:rsidR="00DC123A" w:rsidRPr="002D1B37">
        <w:rPr>
          <w:rFonts w:eastAsia="Times New Roman" w:cs="Times"/>
          <w:szCs w:val="24"/>
          <w:lang w:val="en-GB"/>
        </w:rPr>
        <w:t>S, pracujących zgodnie z decyzjami:</w:t>
      </w:r>
      <w:r w:rsidRPr="002D1B37">
        <w:rPr>
          <w:rFonts w:eastAsia="Times New Roman" w:cs="Times"/>
          <w:szCs w:val="24"/>
          <w:lang w:val="en-GB"/>
        </w:rPr>
        <w:t xml:space="preserve"> ECC/DEC/(09)04 „On exemption from individual licensing and the free circulation and use of transmit-only mobile satellite terminals operating in the Mobile-Satellite Service allocations in the 1613.8 - 1626.5 MHz band” (Approved 30 October 2009), </w:t>
      </w:r>
      <w:r w:rsidR="00DC123A" w:rsidRPr="002D1B37">
        <w:rPr>
          <w:rFonts w:eastAsia="Times New Roman" w:cs="Times"/>
          <w:szCs w:val="24"/>
          <w:lang w:val="en-GB"/>
        </w:rPr>
        <w:t>ECC/DEC/(12)01 „Exemption from individual licensing and free circulation and use of satellite mobile terminals operating under the control of networks in the range 1 to 3 GHz” (Approved 1 June 2009, latest amended 4 March 2022);</w:t>
      </w:r>
    </w:p>
    <w:p w14:paraId="55805C0C" w14:textId="75BD38A2" w:rsidR="00CF4051" w:rsidRPr="002D1B37" w:rsidRDefault="0099748C" w:rsidP="0099748C">
      <w:pPr>
        <w:pStyle w:val="NIEARTTEKSTtekstnieartykuowanynppodstprawnarozplubpreambua"/>
        <w:rPr>
          <w:rFonts w:eastAsia="Times New Roman" w:cs="Times"/>
          <w:szCs w:val="24"/>
          <w:lang w:val="en-US"/>
        </w:rPr>
      </w:pPr>
      <w:r w:rsidRPr="002D1B37">
        <w:rPr>
          <w:rFonts w:eastAsia="Times New Roman" w:cs="Times"/>
          <w:szCs w:val="24"/>
          <w:lang w:val="en-GB"/>
        </w:rPr>
        <w:lastRenderedPageBreak/>
        <w:t>2) typu S-PCS, pracujących zgodnie z decyzjami: ERC/DEC/(99)06 „On the harmonised introduction of satellite personal communication systems operating in the bands below 1 GHz (S-PCS&lt;1GHz)” (Approved 10 March 1999, amended 4 March 2022)</w:t>
      </w:r>
      <w:r w:rsidR="00E5362C" w:rsidRPr="002D1B37">
        <w:rPr>
          <w:rFonts w:eastAsia="Times New Roman" w:cs="Times"/>
          <w:szCs w:val="24"/>
          <w:lang w:val="en-GB"/>
        </w:rPr>
        <w:t>,</w:t>
      </w:r>
      <w:r w:rsidRPr="002D1B37">
        <w:rPr>
          <w:rFonts w:eastAsia="Times New Roman" w:cs="Times"/>
          <w:szCs w:val="24"/>
          <w:lang w:val="en-GB"/>
        </w:rPr>
        <w:t xml:space="preserve"> ERC/DEC/(99)05 „On free Circulation, Use and Exemption from Individual Licensing of Mobile Earth Stations of S-PCS&lt;1GHz systems” (Approved 10 March 1999) oraz ECTRA/DEC(99)02 „On harmonisation of authorisation conditions in the field of Satellite Personal Communications Services (S-PCS) in Europe, operating in the bands below 1 GHz (S-PCS&lt;1 GHz)” (Approved 3 March 1999).</w:t>
      </w:r>
    </w:p>
    <w:p w14:paraId="385813D9" w14:textId="77777777" w:rsidR="00CD0759" w:rsidRPr="002D1B37" w:rsidRDefault="00A64C03" w:rsidP="00CD0759">
      <w:pPr>
        <w:pStyle w:val="NIEARTTEKSTtekstnieartykuowanynppodstprawnarozplubpreambua"/>
        <w:rPr>
          <w:rFonts w:eastAsia="Times New Roman" w:cs="Times"/>
          <w:szCs w:val="24"/>
        </w:rPr>
      </w:pPr>
      <w:r w:rsidRPr="002D1B37">
        <w:rPr>
          <w:rFonts w:eastAsia="Times New Roman" w:cs="Times"/>
          <w:szCs w:val="24"/>
        </w:rPr>
        <w:t xml:space="preserve">Projektowane rozporządzenie uwzględnia </w:t>
      </w:r>
      <w:r w:rsidR="00CD0759" w:rsidRPr="002D1B37">
        <w:rPr>
          <w:rFonts w:eastAsia="Times New Roman" w:cs="Times"/>
          <w:szCs w:val="24"/>
        </w:rPr>
        <w:t>przepis</w:t>
      </w:r>
      <w:r w:rsidRPr="002D1B37">
        <w:rPr>
          <w:rFonts w:eastAsia="Times New Roman" w:cs="Times"/>
          <w:szCs w:val="24"/>
        </w:rPr>
        <w:t>y</w:t>
      </w:r>
      <w:r w:rsidR="00CD0759" w:rsidRPr="002D1B37">
        <w:rPr>
          <w:rFonts w:eastAsia="Times New Roman" w:cs="Times"/>
          <w:szCs w:val="24"/>
        </w:rPr>
        <w:t xml:space="preserve"> następujących decyzji wykonawczych Komisji Europejskiej, tj.: </w:t>
      </w:r>
    </w:p>
    <w:p w14:paraId="25FE3D5B" w14:textId="36FA9759" w:rsidR="00CD0759" w:rsidRPr="002D1B37" w:rsidRDefault="00CD0759" w:rsidP="00CD0759">
      <w:pPr>
        <w:pStyle w:val="NIEARTTEKSTtekstnieartykuowanynppodstprawnarozplubpreambua"/>
        <w:rPr>
          <w:rFonts w:eastAsia="Times New Roman" w:cs="Times"/>
          <w:szCs w:val="24"/>
        </w:rPr>
      </w:pPr>
      <w:r w:rsidRPr="002D1B37">
        <w:rPr>
          <w:rFonts w:eastAsia="Times New Roman" w:cs="Times"/>
          <w:szCs w:val="24"/>
        </w:rPr>
        <w:t>1) 2021/1067 z dnia 17 czerwca 2021 r. w sprawie zharmonizowanego wykorzystania widma radiowego w paśmie częstotliwości 5945–6425 MHz celem wdrożenia systemów dostępu bezprzewodowego, w tym lokalnych sieci radiowych (WAS/RLANs) (Dz. Urz. UE L 23</w:t>
      </w:r>
      <w:r w:rsidR="00AD7DC5" w:rsidRPr="002D1B37">
        <w:rPr>
          <w:rFonts w:eastAsia="Times New Roman" w:cs="Times"/>
          <w:szCs w:val="24"/>
        </w:rPr>
        <w:t>2</w:t>
      </w:r>
      <w:r w:rsidRPr="002D1B37">
        <w:rPr>
          <w:rFonts w:eastAsia="Times New Roman" w:cs="Times"/>
          <w:szCs w:val="24"/>
        </w:rPr>
        <w:t xml:space="preserve"> z 30.06.2021, str. 1)</w:t>
      </w:r>
      <w:r w:rsidR="00E41CFE" w:rsidRPr="002D1B37">
        <w:rPr>
          <w:rFonts w:eastAsia="Times New Roman" w:cs="Times"/>
          <w:szCs w:val="24"/>
        </w:rPr>
        <w:t>,</w:t>
      </w:r>
    </w:p>
    <w:p w14:paraId="25849783" w14:textId="143BD53E" w:rsidR="00D81D93" w:rsidRPr="002D1B37" w:rsidRDefault="00AB304D" w:rsidP="00CD0759">
      <w:pPr>
        <w:pStyle w:val="NIEARTTEKSTtekstnieartykuowanynppodstprawnarozplubpreambua"/>
        <w:rPr>
          <w:rFonts w:eastAsia="Times New Roman" w:cs="Times"/>
          <w:szCs w:val="24"/>
        </w:rPr>
      </w:pPr>
      <w:r w:rsidRPr="002D1B37">
        <w:rPr>
          <w:rFonts w:eastAsia="Times New Roman" w:cs="Times"/>
          <w:szCs w:val="24"/>
        </w:rPr>
        <w:t>2)</w:t>
      </w:r>
      <w:r w:rsidRPr="002D1B37">
        <w:rPr>
          <w:rFonts w:eastAsia="Times New Roman" w:cs="Times"/>
          <w:szCs w:val="24"/>
        </w:rPr>
        <w:tab/>
      </w:r>
      <w:r w:rsidR="00DC5F00" w:rsidRPr="002D1B37">
        <w:rPr>
          <w:rFonts w:eastAsia="Times New Roman" w:cs="Times"/>
          <w:szCs w:val="24"/>
        </w:rPr>
        <w:t xml:space="preserve"> </w:t>
      </w:r>
      <w:r w:rsidRPr="002D1B37">
        <w:rPr>
          <w:rFonts w:eastAsia="Times New Roman" w:cs="Times"/>
          <w:szCs w:val="24"/>
        </w:rPr>
        <w:t>202</w:t>
      </w:r>
      <w:r w:rsidR="00CB26D8" w:rsidRPr="002D1B37">
        <w:rPr>
          <w:rFonts w:eastAsia="Times New Roman" w:cs="Times"/>
          <w:szCs w:val="24"/>
        </w:rPr>
        <w:t>2</w:t>
      </w:r>
      <w:r w:rsidRPr="002D1B37">
        <w:rPr>
          <w:rFonts w:eastAsia="Times New Roman" w:cs="Times"/>
          <w:szCs w:val="24"/>
        </w:rPr>
        <w:t>/2307 z dnia 23 listopada 2022 r. zmieniająca decyzję wykonawczą (UE) 2022/179 w odniesieniu do wyznaczania i udostępniania zakresów częstotliwości 5150-5250 MHz, 5250-5350 MHz i 5470-5725 MHz zgodnie z warunkami technicznymi określonymi w załączniku (Dz. Urz. UE L 305 z 25.11.2022, str. 63)</w:t>
      </w:r>
      <w:r w:rsidR="00D81D93" w:rsidRPr="002D1B37">
        <w:rPr>
          <w:rFonts w:eastAsia="Times New Roman" w:cs="Times"/>
          <w:szCs w:val="24"/>
        </w:rPr>
        <w:t>,</w:t>
      </w:r>
    </w:p>
    <w:p w14:paraId="6AB5530E" w14:textId="77777777" w:rsidR="00D81D93" w:rsidRPr="002D1B37" w:rsidRDefault="00D81D93" w:rsidP="00CD0759">
      <w:pPr>
        <w:pStyle w:val="NIEARTTEKSTtekstnieartykuowanynppodstprawnarozplubpreambua"/>
        <w:rPr>
          <w:rFonts w:eastAsia="Times New Roman" w:cs="Times"/>
          <w:bCs w:val="0"/>
          <w:szCs w:val="24"/>
        </w:rPr>
      </w:pPr>
      <w:r w:rsidRPr="002D1B37">
        <w:rPr>
          <w:rFonts w:cs="Times"/>
          <w:szCs w:val="24"/>
        </w:rPr>
        <w:t xml:space="preserve">3) </w:t>
      </w:r>
      <w:r w:rsidRPr="002D1B37">
        <w:rPr>
          <w:rFonts w:eastAsia="Times New Roman" w:cs="Times"/>
          <w:bCs w:val="0"/>
          <w:szCs w:val="24"/>
        </w:rPr>
        <w:t>2022/172 z dnia 7 lutego 2022 r. zmieniającej decyzję wykonawczą Komisji (UE) 2018/1538 w sprawie harmonizacji widma radiowego na potrzeby urządzeń bliskiego zasięgu w zakresach częstotliwości 874–876 MHz i 915–921 MHz (Dz. Urz. UE L 28 z 09.02.2022, str. 21),</w:t>
      </w:r>
    </w:p>
    <w:p w14:paraId="49403174" w14:textId="40299E11" w:rsidR="00CD0759" w:rsidRPr="002D1B37" w:rsidRDefault="00D81D93" w:rsidP="00D81D93">
      <w:pPr>
        <w:pStyle w:val="NIEARTTEKSTtekstnieartykuowanynppodstprawnarozplubpreambua"/>
        <w:rPr>
          <w:rFonts w:cs="Times"/>
          <w:szCs w:val="24"/>
        </w:rPr>
      </w:pPr>
      <w:r w:rsidRPr="002D1B37">
        <w:rPr>
          <w:rFonts w:cs="Times"/>
          <w:szCs w:val="24"/>
        </w:rPr>
        <w:t>4) 2022/180/UE z dnia 8 lutego 2022 r. zmieniającej decyzję 2006/771/WE w odniesieniu do aktualizacji zharmonizowanych warunków technicznych w zakresie wykorzystywania widma radiowego na potrzeby urządzeń bliskiego zasięgu (</w:t>
      </w:r>
      <w:r w:rsidRPr="002D1B37">
        <w:rPr>
          <w:rFonts w:eastAsia="Times New Roman" w:cs="Times"/>
          <w:szCs w:val="24"/>
        </w:rPr>
        <w:t>Dz. U. UE L 29 z 10. 02. 2022, s.17</w:t>
      </w:r>
      <w:r w:rsidRPr="002D1B37">
        <w:rPr>
          <w:rFonts w:cs="Times"/>
          <w:szCs w:val="24"/>
        </w:rPr>
        <w:t>).</w:t>
      </w:r>
    </w:p>
    <w:p w14:paraId="17A1CF17" w14:textId="567056E8" w:rsidR="00AB304D" w:rsidRPr="002D1B37" w:rsidRDefault="007B7521" w:rsidP="00DC5F00">
      <w:pPr>
        <w:pStyle w:val="NIEARTTEKSTtekstnieartykuowanynppodstprawnarozplubpreambua"/>
        <w:rPr>
          <w:rFonts w:cs="Times"/>
          <w:szCs w:val="24"/>
        </w:rPr>
      </w:pPr>
      <w:r w:rsidRPr="002D1B37">
        <w:rPr>
          <w:rFonts w:cs="Times"/>
          <w:szCs w:val="24"/>
        </w:rPr>
        <w:t>5)</w:t>
      </w:r>
      <w:r w:rsidR="00DC5F00" w:rsidRPr="002D1B37">
        <w:rPr>
          <w:rFonts w:cs="Times"/>
          <w:szCs w:val="24"/>
        </w:rPr>
        <w:t xml:space="preserve"> </w:t>
      </w:r>
      <w:r w:rsidRPr="002D1B37">
        <w:rPr>
          <w:rFonts w:cs="Times"/>
          <w:szCs w:val="24"/>
        </w:rPr>
        <w:t>2022/2324 z dnia 23 listopada 2022 r. zmieniającej decyzję 2008/294/WE w celu uwzględnienia dodatkowych technologii dostępu i środków na potrzeby wykonywania usług łączności ruchomej na pokładach statków powietrznych (usługi MCA) w Unii (Dz. Urz. UE L 307 z 28.11.2022, str. 262).</w:t>
      </w:r>
    </w:p>
    <w:p w14:paraId="5BFAFFA8" w14:textId="68400928" w:rsidR="009B4B2E" w:rsidRPr="002D1B37" w:rsidRDefault="00D81D93" w:rsidP="00223A85">
      <w:pPr>
        <w:pStyle w:val="ARTartustawynprozporzdzenia"/>
        <w:rPr>
          <w:rFonts w:cs="Times"/>
          <w:szCs w:val="24"/>
        </w:rPr>
      </w:pPr>
      <w:r w:rsidRPr="002D1B37">
        <w:rPr>
          <w:rFonts w:cs="Times"/>
          <w:szCs w:val="24"/>
        </w:rPr>
        <w:t>Decyzje wymienione w pkt 1 i 2</w:t>
      </w:r>
      <w:r w:rsidR="00CD0759" w:rsidRPr="002D1B37">
        <w:rPr>
          <w:rFonts w:cs="Times"/>
          <w:szCs w:val="24"/>
        </w:rPr>
        <w:t xml:space="preserve"> harmonizują warunki techniczne wykorzystania widma na potrzeby systemów dostępu bezprzewodowego</w:t>
      </w:r>
      <w:r w:rsidR="00524ECA" w:rsidRPr="002D1B37">
        <w:rPr>
          <w:rFonts w:cs="Times"/>
          <w:szCs w:val="24"/>
        </w:rPr>
        <w:t>,</w:t>
      </w:r>
      <w:r w:rsidR="00CD0759" w:rsidRPr="002D1B37">
        <w:rPr>
          <w:rFonts w:cs="Times"/>
          <w:szCs w:val="24"/>
        </w:rPr>
        <w:t xml:space="preserve"> </w:t>
      </w:r>
      <w:r w:rsidR="00CD0759" w:rsidRPr="002D1B37">
        <w:rPr>
          <w:rFonts w:eastAsia="Times New Roman" w:cs="Times"/>
          <w:szCs w:val="24"/>
        </w:rPr>
        <w:t>w tym lokalnych sieci radiowych (WAS/RLANs)</w:t>
      </w:r>
      <w:r w:rsidR="00524ECA" w:rsidRPr="002D1B37">
        <w:rPr>
          <w:rFonts w:eastAsia="Times New Roman" w:cs="Times"/>
          <w:szCs w:val="24"/>
        </w:rPr>
        <w:t>,</w:t>
      </w:r>
      <w:r w:rsidR="00CD0759" w:rsidRPr="002D1B37">
        <w:rPr>
          <w:rFonts w:eastAsia="Times New Roman" w:cs="Times"/>
          <w:szCs w:val="24"/>
        </w:rPr>
        <w:t xml:space="preserve"> w pasmach </w:t>
      </w:r>
      <w:r w:rsidR="00853D59" w:rsidRPr="002D1B37">
        <w:rPr>
          <w:rFonts w:eastAsia="Times New Roman" w:cs="Times"/>
          <w:szCs w:val="24"/>
        </w:rPr>
        <w:t xml:space="preserve">częstotliwości </w:t>
      </w:r>
      <w:r w:rsidR="00CD0759" w:rsidRPr="002D1B37">
        <w:rPr>
          <w:rFonts w:eastAsia="Times New Roman" w:cs="Times"/>
          <w:szCs w:val="24"/>
        </w:rPr>
        <w:t xml:space="preserve">5 GHz oraz 6 GHz. </w:t>
      </w:r>
      <w:r w:rsidR="00CD0759" w:rsidRPr="002D1B37">
        <w:rPr>
          <w:rFonts w:cs="Times"/>
          <w:szCs w:val="24"/>
        </w:rPr>
        <w:t>Wynikające z t</w:t>
      </w:r>
      <w:r w:rsidR="00212500" w:rsidRPr="002D1B37">
        <w:rPr>
          <w:rFonts w:cs="Times"/>
          <w:szCs w:val="24"/>
        </w:rPr>
        <w:t>ych</w:t>
      </w:r>
      <w:r w:rsidR="00CD0759" w:rsidRPr="002D1B37">
        <w:rPr>
          <w:rFonts w:cs="Times"/>
          <w:szCs w:val="24"/>
        </w:rPr>
        <w:t xml:space="preserve"> decyzji nowe </w:t>
      </w:r>
      <w:r w:rsidR="00CD0759" w:rsidRPr="002D1B37">
        <w:rPr>
          <w:rFonts w:cs="Times"/>
          <w:szCs w:val="24"/>
        </w:rPr>
        <w:lastRenderedPageBreak/>
        <w:t>zastosowania urządzeń bliskiego zasięgu są istotne ze względu na rosnące znaczenie tego rodzaju urządzeń dla gospodarki, szybkie zmiany w technologii oraz zmieniające się potrzeby społeczne</w:t>
      </w:r>
      <w:r w:rsidR="00E41CFE" w:rsidRPr="002D1B37">
        <w:rPr>
          <w:rFonts w:cs="Times"/>
          <w:szCs w:val="24"/>
        </w:rPr>
        <w:t>.</w:t>
      </w:r>
      <w:r w:rsidRPr="002D1B37">
        <w:rPr>
          <w:rFonts w:cs="Times"/>
          <w:szCs w:val="24"/>
        </w:rPr>
        <w:t xml:space="preserve"> </w:t>
      </w:r>
      <w:r w:rsidR="00CD0759" w:rsidRPr="002D1B37">
        <w:rPr>
          <w:rFonts w:cs="Times"/>
        </w:rPr>
        <w:t xml:space="preserve">Decyzja </w:t>
      </w:r>
      <w:r w:rsidRPr="002D1B37">
        <w:rPr>
          <w:rFonts w:cs="Times"/>
        </w:rPr>
        <w:t>wymieniona w pkt 3</w:t>
      </w:r>
      <w:r w:rsidR="00CD0759" w:rsidRPr="002D1B37">
        <w:rPr>
          <w:rFonts w:cs="Times"/>
        </w:rPr>
        <w:t xml:space="preserve"> służy harmonizacji zakresów częstotliwości i technicznych warunków dostępności i skutecznego wykorzystania widma na potrzeby urządzeń bliskiego zasięgu w </w:t>
      </w:r>
      <w:r w:rsidR="00CD0759" w:rsidRPr="002D1B37">
        <w:rPr>
          <w:rFonts w:cs="Times"/>
          <w:szCs w:val="24"/>
        </w:rPr>
        <w:t>obrębie zakresów częstotliwości 874–876 MHz i 915–921 MHz</w:t>
      </w:r>
      <w:r w:rsidRPr="002D1B37">
        <w:rPr>
          <w:rFonts w:cs="Times"/>
          <w:szCs w:val="24"/>
        </w:rPr>
        <w:t xml:space="preserve">, natomiast decyzja wymieniona w pkt 4 </w:t>
      </w:r>
      <w:r w:rsidR="00CD0759" w:rsidRPr="002D1B37">
        <w:rPr>
          <w:rFonts w:cs="Times"/>
          <w:szCs w:val="24"/>
        </w:rPr>
        <w:t xml:space="preserve">harmonizuje warunki techniczne wykorzystania widma na potrzeby szerokiej gamy urządzeń bliskiego zasięgu w </w:t>
      </w:r>
      <w:r w:rsidR="007F6278" w:rsidRPr="002D1B37">
        <w:rPr>
          <w:rFonts w:cs="Times"/>
          <w:szCs w:val="24"/>
        </w:rPr>
        <w:t xml:space="preserve">takich </w:t>
      </w:r>
      <w:r w:rsidR="00CD0759" w:rsidRPr="002D1B37">
        <w:rPr>
          <w:rFonts w:cs="Times"/>
          <w:szCs w:val="24"/>
        </w:rPr>
        <w:t>obszarach zastosowań</w:t>
      </w:r>
      <w:r w:rsidR="007F6278" w:rsidRPr="002D1B37">
        <w:rPr>
          <w:rFonts w:cs="Times"/>
          <w:szCs w:val="24"/>
        </w:rPr>
        <w:t>,</w:t>
      </w:r>
      <w:r w:rsidR="00CD0759" w:rsidRPr="002D1B37">
        <w:rPr>
          <w:rFonts w:cs="Times"/>
          <w:szCs w:val="24"/>
        </w:rPr>
        <w:t xml:space="preserve"> jak</w:t>
      </w:r>
      <w:r w:rsidR="007E1EA5" w:rsidRPr="002D1B37">
        <w:rPr>
          <w:rFonts w:cs="Times"/>
          <w:szCs w:val="24"/>
        </w:rPr>
        <w:t>:</w:t>
      </w:r>
      <w:r w:rsidR="00CD0759" w:rsidRPr="002D1B37">
        <w:rPr>
          <w:rFonts w:cs="Times"/>
          <w:szCs w:val="24"/>
        </w:rPr>
        <w:t xml:space="preserve"> systemy alarmowe, łączność lokalna, zdalne sterowanie, implanty medyczne i zbieranie danych medycznych, inteligentne systemy transportowe oraz Internet Rzeczy, w tym identyfikacja radiowa („RFID”). </w:t>
      </w:r>
      <w:r w:rsidR="00221458" w:rsidRPr="002D1B37">
        <w:rPr>
          <w:rFonts w:cs="Times"/>
        </w:rPr>
        <w:t>Szerokie zastosowanie urządzeń bliskiego zasięgu, wynikające z niniejszej decyzji</w:t>
      </w:r>
      <w:r w:rsidR="00221458" w:rsidRPr="002D1B37">
        <w:rPr>
          <w:rFonts w:cs="Times"/>
          <w:szCs w:val="24"/>
        </w:rPr>
        <w:t xml:space="preserve">, </w:t>
      </w:r>
      <w:r w:rsidR="009D71CA" w:rsidRPr="002D1B37">
        <w:rPr>
          <w:rFonts w:cs="Times"/>
          <w:szCs w:val="24"/>
        </w:rPr>
        <w:t xml:space="preserve">uwzględnia postępujący rozwój technologiczny </w:t>
      </w:r>
      <w:r w:rsidR="0027340B" w:rsidRPr="002D1B37">
        <w:rPr>
          <w:rFonts w:cs="Times"/>
          <w:szCs w:val="24"/>
        </w:rPr>
        <w:t>i gospodarczy, jak również zapotrzebowanie społeczne.</w:t>
      </w:r>
      <w:r w:rsidR="00FB6606" w:rsidRPr="002D1B37">
        <w:rPr>
          <w:rFonts w:cs="Times"/>
          <w:szCs w:val="24"/>
        </w:rPr>
        <w:t xml:space="preserve"> </w:t>
      </w:r>
      <w:r w:rsidR="009B4B2E" w:rsidRPr="002D1B37">
        <w:rPr>
          <w:rFonts w:cs="Times"/>
          <w:szCs w:val="24"/>
        </w:rPr>
        <w:t>Decyzja w</w:t>
      </w:r>
      <w:r w:rsidR="00CE2768" w:rsidRPr="002D1B37">
        <w:rPr>
          <w:rFonts w:cs="Times"/>
          <w:szCs w:val="24"/>
        </w:rPr>
        <w:t xml:space="preserve">ymieniona w pkt 5 </w:t>
      </w:r>
      <w:r w:rsidR="004E25D6" w:rsidRPr="002D1B37">
        <w:rPr>
          <w:rFonts w:cs="Times"/>
          <w:szCs w:val="24"/>
        </w:rPr>
        <w:t xml:space="preserve">umożliwi wykorzystanie urządzeń pracujących w technologii </w:t>
      </w:r>
      <w:r w:rsidR="009B3155" w:rsidRPr="002D1B37">
        <w:rPr>
          <w:rFonts w:cs="Times"/>
          <w:szCs w:val="24"/>
        </w:rPr>
        <w:t xml:space="preserve">5G </w:t>
      </w:r>
      <w:r w:rsidR="00305E21" w:rsidRPr="002D1B37">
        <w:rPr>
          <w:rFonts w:cs="Times"/>
          <w:szCs w:val="24"/>
        </w:rPr>
        <w:t xml:space="preserve">NR </w:t>
      </w:r>
      <w:r w:rsidR="009B3155" w:rsidRPr="002D1B37">
        <w:rPr>
          <w:rFonts w:cs="Times"/>
          <w:szCs w:val="24"/>
        </w:rPr>
        <w:t>na pokładach statków powietrznych</w:t>
      </w:r>
      <w:r w:rsidR="00C616C0" w:rsidRPr="002D1B37">
        <w:rPr>
          <w:rFonts w:cs="Times"/>
          <w:szCs w:val="24"/>
        </w:rPr>
        <w:t>,</w:t>
      </w:r>
      <w:r w:rsidR="00E41DBB" w:rsidRPr="002D1B37">
        <w:rPr>
          <w:rFonts w:cs="Times"/>
          <w:szCs w:val="24"/>
        </w:rPr>
        <w:t xml:space="preserve"> co</w:t>
      </w:r>
      <w:r w:rsidR="009B3155" w:rsidRPr="002D1B37">
        <w:rPr>
          <w:rFonts w:cs="Times"/>
          <w:szCs w:val="24"/>
        </w:rPr>
        <w:t xml:space="preserve"> usprawni usługi łączności świadczone pasażerom podczas podróży, a jednocześnie zapewni stosowanie najnowszych dostępnych technologii i efektywne wykorzystanie widma.</w:t>
      </w:r>
    </w:p>
    <w:p w14:paraId="677DC29F" w14:textId="25F1438C" w:rsidR="00020016" w:rsidRPr="002D1B37" w:rsidRDefault="00A139B3" w:rsidP="00FF0F5D">
      <w:pPr>
        <w:pStyle w:val="NIEARTTEKSTtekstnieartykuowanynppodstprawnarozplubpreambua"/>
        <w:rPr>
          <w:rFonts w:cs="Times"/>
        </w:rPr>
      </w:pPr>
      <w:r w:rsidRPr="002D1B37">
        <w:rPr>
          <w:rFonts w:cs="Times"/>
          <w:szCs w:val="24"/>
          <w:lang w:val="en-GB"/>
        </w:rPr>
        <w:t>Ponadto projektowane rozporządzenie uwzględnia zapisy</w:t>
      </w:r>
      <w:r w:rsidR="00CD0759" w:rsidRPr="002D1B37">
        <w:rPr>
          <w:rFonts w:cs="Times"/>
          <w:szCs w:val="24"/>
          <w:lang w:val="en-US"/>
        </w:rPr>
        <w:t xml:space="preserve"> </w:t>
      </w:r>
      <w:r w:rsidR="00E5362C" w:rsidRPr="002D1B37">
        <w:rPr>
          <w:rFonts w:cs="Times"/>
          <w:szCs w:val="24"/>
          <w:lang w:val="en-US"/>
        </w:rPr>
        <w:t xml:space="preserve">zalecenia </w:t>
      </w:r>
      <w:r w:rsidR="00CD0759" w:rsidRPr="002D1B37">
        <w:rPr>
          <w:rFonts w:cs="Times"/>
          <w:szCs w:val="24"/>
          <w:lang w:val="en-US"/>
        </w:rPr>
        <w:t xml:space="preserve">ERC 70-03 </w:t>
      </w:r>
      <w:r w:rsidR="00E5362C" w:rsidRPr="002D1B37">
        <w:rPr>
          <w:rFonts w:cs="Times"/>
          <w:szCs w:val="24"/>
          <w:lang w:val="en-US"/>
        </w:rPr>
        <w:t>“</w:t>
      </w:r>
      <w:r w:rsidR="00CD0759" w:rsidRPr="002D1B37">
        <w:rPr>
          <w:rFonts w:cs="Times"/>
          <w:szCs w:val="24"/>
          <w:lang w:val="en-US"/>
        </w:rPr>
        <w:t>Relating to the use of Short Range Devices (SRD</w:t>
      </w:r>
      <w:r w:rsidR="00173688" w:rsidRPr="002D1B37">
        <w:rPr>
          <w:rFonts w:cs="Times"/>
          <w:szCs w:val="24"/>
          <w:lang w:val="en-US"/>
        </w:rPr>
        <w:t>)</w:t>
      </w:r>
      <w:r w:rsidR="00E5362C" w:rsidRPr="002D1B37">
        <w:rPr>
          <w:rFonts w:cs="Times"/>
          <w:szCs w:val="24"/>
          <w:lang w:val="en-US"/>
        </w:rPr>
        <w:t>”</w:t>
      </w:r>
      <w:r w:rsidR="00473B83" w:rsidRPr="002D1B37">
        <w:rPr>
          <w:rFonts w:cs="Times"/>
          <w:szCs w:val="24"/>
          <w:lang w:val="en-US"/>
        </w:rPr>
        <w:t>, (Approved 1997 (Tromsø) subsequent amendments 11 February 2022)</w:t>
      </w:r>
      <w:r w:rsidR="00173688" w:rsidRPr="002D1B37">
        <w:rPr>
          <w:rFonts w:cs="Times"/>
          <w:szCs w:val="24"/>
          <w:lang w:val="en-US"/>
        </w:rPr>
        <w:t>.</w:t>
      </w:r>
      <w:r w:rsidR="00A64C03" w:rsidRPr="002D1B37">
        <w:rPr>
          <w:rFonts w:cs="Times"/>
          <w:szCs w:val="24"/>
          <w:lang w:val="en-US"/>
        </w:rPr>
        <w:t xml:space="preserve"> </w:t>
      </w:r>
      <w:r w:rsidR="00E522D8" w:rsidRPr="002D1B37">
        <w:rPr>
          <w:rFonts w:cs="Times"/>
        </w:rPr>
        <w:t xml:space="preserve">Powyższe </w:t>
      </w:r>
      <w:r w:rsidR="004244EC" w:rsidRPr="002D1B37">
        <w:rPr>
          <w:rFonts w:cs="Times"/>
        </w:rPr>
        <w:t>z</w:t>
      </w:r>
      <w:r w:rsidR="00CD0759" w:rsidRPr="002D1B37">
        <w:rPr>
          <w:rFonts w:cs="Times"/>
        </w:rPr>
        <w:t xml:space="preserve">alecenie </w:t>
      </w:r>
      <w:r w:rsidR="00AB3093" w:rsidRPr="002D1B37">
        <w:rPr>
          <w:rFonts w:cs="Times"/>
        </w:rPr>
        <w:t xml:space="preserve">stanowi dokument </w:t>
      </w:r>
      <w:r w:rsidR="00FF0F5D" w:rsidRPr="002D1B37">
        <w:rPr>
          <w:rFonts w:cs="Times"/>
        </w:rPr>
        <w:t xml:space="preserve">odniesienia w trakcie przygotowania </w:t>
      </w:r>
      <w:r w:rsidR="00AB3093" w:rsidRPr="002D1B37">
        <w:rPr>
          <w:rFonts w:cs="Times"/>
        </w:rPr>
        <w:t xml:space="preserve">krajowych przepisów </w:t>
      </w:r>
      <w:r w:rsidR="00FF0F5D" w:rsidRPr="002D1B37">
        <w:rPr>
          <w:rFonts w:cs="Times"/>
        </w:rPr>
        <w:t>wykorzystania</w:t>
      </w:r>
      <w:r w:rsidR="00AB3093" w:rsidRPr="002D1B37">
        <w:rPr>
          <w:rFonts w:cs="Times"/>
        </w:rPr>
        <w:t xml:space="preserve"> widma radiowego, </w:t>
      </w:r>
      <w:r w:rsidR="00CD0759" w:rsidRPr="002D1B37">
        <w:rPr>
          <w:rFonts w:cs="Times"/>
        </w:rPr>
        <w:t>określa</w:t>
      </w:r>
      <w:r w:rsidR="00AB3093" w:rsidRPr="002D1B37">
        <w:rPr>
          <w:rFonts w:cs="Times"/>
        </w:rPr>
        <w:t>jąc</w:t>
      </w:r>
      <w:r w:rsidR="00CD0759" w:rsidRPr="002D1B37">
        <w:rPr>
          <w:rFonts w:cs="Times"/>
        </w:rPr>
        <w:t xml:space="preserve"> stanowisko państw CEPT w zakresie widma radiowego</w:t>
      </w:r>
      <w:r w:rsidR="00AB3093" w:rsidRPr="002D1B37">
        <w:rPr>
          <w:rFonts w:cs="Times"/>
        </w:rPr>
        <w:t xml:space="preserve"> możliwego do </w:t>
      </w:r>
      <w:r w:rsidR="00A11E88" w:rsidRPr="002D1B37">
        <w:rPr>
          <w:rFonts w:cs="Times"/>
        </w:rPr>
        <w:t xml:space="preserve">użytkowania </w:t>
      </w:r>
      <w:r w:rsidR="00CD0759" w:rsidRPr="002D1B37">
        <w:rPr>
          <w:rFonts w:cs="Times"/>
        </w:rPr>
        <w:t>przez urządzenia o krótkim zasięgu (SRD)</w:t>
      </w:r>
      <w:r w:rsidR="00AB3093" w:rsidRPr="002D1B37">
        <w:rPr>
          <w:rFonts w:cs="Times"/>
        </w:rPr>
        <w:t>.</w:t>
      </w:r>
      <w:r w:rsidR="00AB3093" w:rsidRPr="002D1B37" w:rsidDel="00AB3093">
        <w:rPr>
          <w:rFonts w:cs="Times"/>
        </w:rPr>
        <w:t xml:space="preserve"> </w:t>
      </w:r>
    </w:p>
    <w:p w14:paraId="5EA044E5" w14:textId="77777777" w:rsidR="00CD0759" w:rsidRPr="002D1B37" w:rsidRDefault="00CD0759" w:rsidP="00CD0759">
      <w:pPr>
        <w:pStyle w:val="NIEARTTEKSTtekstnieartykuowanynppodstprawnarozplubpreambua"/>
        <w:rPr>
          <w:rFonts w:cs="Times"/>
          <w:szCs w:val="24"/>
        </w:rPr>
      </w:pPr>
      <w:r w:rsidRPr="002D1B37">
        <w:rPr>
          <w:rFonts w:cs="Times"/>
          <w:szCs w:val="24"/>
        </w:rPr>
        <w:t>Projekt nie wymaga zaopiniowania, dokonania konsultacji albo uzgodnienia z właściwymi instytucjami i organami Unii Europejskiej, w tym z Europejskim Bankiem Centralnym.</w:t>
      </w:r>
    </w:p>
    <w:p w14:paraId="457FFE0D" w14:textId="0AC416E8" w:rsidR="00CD0759" w:rsidRPr="002D1B37" w:rsidRDefault="00CD0759" w:rsidP="00CD0759">
      <w:pPr>
        <w:pStyle w:val="NIEARTTEKSTtekstnieartykuowanynppodstprawnarozplubpreambua"/>
        <w:rPr>
          <w:rFonts w:cs="Times"/>
          <w:color w:val="FF0000"/>
          <w:szCs w:val="24"/>
        </w:rPr>
      </w:pPr>
      <w:r w:rsidRPr="002D1B37">
        <w:rPr>
          <w:rFonts w:cs="Times"/>
          <w:szCs w:val="24"/>
        </w:rPr>
        <w:t xml:space="preserve">Przewiduje się, że </w:t>
      </w:r>
      <w:r w:rsidR="00E522D8" w:rsidRPr="002D1B37">
        <w:rPr>
          <w:rFonts w:cs="Times"/>
          <w:szCs w:val="24"/>
        </w:rPr>
        <w:t xml:space="preserve">rozwiązania </w:t>
      </w:r>
      <w:r w:rsidRPr="002D1B37">
        <w:rPr>
          <w:rFonts w:cs="Times"/>
          <w:szCs w:val="24"/>
        </w:rPr>
        <w:t xml:space="preserve">przyjęte w projekcie </w:t>
      </w:r>
      <w:r w:rsidR="00E522D8" w:rsidRPr="002D1B37">
        <w:rPr>
          <w:rFonts w:cs="Times"/>
          <w:szCs w:val="24"/>
        </w:rPr>
        <w:t xml:space="preserve">rozporządzenia </w:t>
      </w:r>
      <w:r w:rsidRPr="002D1B37">
        <w:rPr>
          <w:rFonts w:cs="Times"/>
          <w:szCs w:val="24"/>
        </w:rPr>
        <w:t>będą miały pozytywny wpływ na działalność mikroprzedsiębiorców, małych i średnich</w:t>
      </w:r>
      <w:r w:rsidR="002834CD" w:rsidRPr="002D1B37">
        <w:rPr>
          <w:rFonts w:cs="Times"/>
          <w:szCs w:val="24"/>
        </w:rPr>
        <w:t xml:space="preserve"> oraz dużych</w:t>
      </w:r>
      <w:r w:rsidRPr="002D1B37">
        <w:rPr>
          <w:rFonts w:cs="Times"/>
          <w:szCs w:val="24"/>
        </w:rPr>
        <w:t xml:space="preserve"> przedsiębiorców, </w:t>
      </w:r>
      <w:r w:rsidR="00E5362C" w:rsidRPr="002D1B37">
        <w:rPr>
          <w:rFonts w:cs="Times"/>
          <w:szCs w:val="24"/>
        </w:rPr>
        <w:t xml:space="preserve">a także nadawców, </w:t>
      </w:r>
      <w:r w:rsidRPr="002D1B37">
        <w:rPr>
          <w:rFonts w:cs="Times"/>
          <w:szCs w:val="24"/>
        </w:rPr>
        <w:t>stosownie do przepisu art. 66 ust. 1 pkt 2 ustawy z dnia 6 marca 2018 r. – Prawo przedsiębiorców</w:t>
      </w:r>
      <w:r w:rsidR="007F0A23" w:rsidRPr="002D1B37">
        <w:rPr>
          <w:rFonts w:cs="Times"/>
          <w:szCs w:val="24"/>
        </w:rPr>
        <w:t>,</w:t>
      </w:r>
      <w:r w:rsidRPr="002D1B37">
        <w:rPr>
          <w:rFonts w:cs="Times"/>
          <w:szCs w:val="24"/>
        </w:rPr>
        <w:t xml:space="preserve"> </w:t>
      </w:r>
      <w:r w:rsidR="00140EAB" w:rsidRPr="002D1B37">
        <w:rPr>
          <w:rFonts w:cs="Times"/>
          <w:szCs w:val="24"/>
        </w:rPr>
        <w:t xml:space="preserve">poprzez umożliwienie im korzystania z szerszego katalogu urządzeń, których używanie nie wymaga uprzedniego uzyskania pozwolenia radiowego. Projektowane rozwiązania </w:t>
      </w:r>
      <w:r w:rsidR="007F0A23" w:rsidRPr="002D1B37">
        <w:rPr>
          <w:rFonts w:cs="Times"/>
          <w:szCs w:val="24"/>
        </w:rPr>
        <w:t>tym samym</w:t>
      </w:r>
      <w:r w:rsidR="00140EAB" w:rsidRPr="002D1B37">
        <w:rPr>
          <w:rFonts w:cs="Times"/>
          <w:szCs w:val="24"/>
        </w:rPr>
        <w:t xml:space="preserve"> wpłyną na rozwój gospodarki.</w:t>
      </w:r>
      <w:r w:rsidR="001D0FBC" w:rsidRPr="002D1B37">
        <w:rPr>
          <w:rFonts w:cs="Times"/>
          <w:szCs w:val="24"/>
        </w:rPr>
        <w:t xml:space="preserve"> Ze względu na ograniczony zakres zmian treści zmienianego rozporządzenia nie przewiduje się wprowadzenia okresu przejściowego dla nowych regulacji.</w:t>
      </w:r>
    </w:p>
    <w:p w14:paraId="5A421209" w14:textId="77777777" w:rsidR="00CD0759" w:rsidRPr="002D1B37" w:rsidRDefault="00CD0759" w:rsidP="00CD0759">
      <w:pPr>
        <w:pStyle w:val="NIEARTTEKSTtekstnieartykuowanynppodstprawnarozplubpreambua"/>
        <w:rPr>
          <w:rFonts w:eastAsia="Times New Roman" w:cs="Times"/>
          <w:szCs w:val="24"/>
        </w:rPr>
      </w:pPr>
      <w:r w:rsidRPr="002D1B37">
        <w:rPr>
          <w:rFonts w:eastAsia="Times New Roman" w:cs="Times"/>
          <w:szCs w:val="24"/>
        </w:rPr>
        <w:lastRenderedPageBreak/>
        <w:t xml:space="preserve">Zgodnie z ustawą z dnia 7 lipca 2005 r. o działalności lobbingowej w procesie stanowienia prawa (Dz. U. z 2017 r. poz. 248) projekt rozporządzenia został udostępniony w Biuletynie Informacji Publicznej na stronie podmiotowej Ministra Cyfryzacji oraz Rządowego Centrum Legislacji. </w:t>
      </w:r>
    </w:p>
    <w:p w14:paraId="33BAD0E4" w14:textId="7F41FE0F" w:rsidR="00CD0759" w:rsidRPr="002D1B37" w:rsidRDefault="00CD0759" w:rsidP="009C2EFB">
      <w:pPr>
        <w:pStyle w:val="NIEARTTEKSTtekstnieartykuowanynppodstprawnarozplubpreambua"/>
        <w:spacing w:after="120"/>
        <w:rPr>
          <w:rFonts w:cs="Times"/>
          <w:szCs w:val="24"/>
        </w:rPr>
      </w:pPr>
      <w:r w:rsidRPr="002D1B37">
        <w:rPr>
          <w:rFonts w:eastAsia="Times New Roman" w:cs="Times"/>
          <w:szCs w:val="24"/>
        </w:rPr>
        <w:t xml:space="preserve">Projektowane rozporządzenie podlega notyfikacji zgodnie z </w:t>
      </w:r>
      <w:r w:rsidR="000A60C6" w:rsidRPr="002D1B37">
        <w:rPr>
          <w:rFonts w:eastAsia="Times New Roman" w:cs="Times"/>
          <w:szCs w:val="24"/>
        </w:rPr>
        <w:t xml:space="preserve">§ 4 rozporządzenia Rady Ministrów z dnia 23 grudnia 2002 r. w sprawie sposobu funkcjonowania krajowego systemu notyfikacji norm i aktów prawnych (Dz. U. </w:t>
      </w:r>
      <w:r w:rsidR="00B0745A" w:rsidRPr="002D1B37">
        <w:rPr>
          <w:rFonts w:eastAsia="Times New Roman" w:cs="Times"/>
          <w:szCs w:val="24"/>
        </w:rPr>
        <w:t>poz. 2039 oraz z 2004 r. poz. 597).</w:t>
      </w:r>
    </w:p>
    <w:p w14:paraId="515782AD" w14:textId="7F4D9106" w:rsidR="009C2EFB" w:rsidRPr="002D1B37" w:rsidRDefault="00CD0759" w:rsidP="00FF0F5D">
      <w:pPr>
        <w:spacing w:after="120" w:line="360" w:lineRule="auto"/>
        <w:ind w:firstLine="510"/>
        <w:rPr>
          <w:rFonts w:ascii="Times" w:hAnsi="Times" w:cs="Times"/>
          <w:sz w:val="24"/>
          <w:szCs w:val="24"/>
        </w:rPr>
      </w:pPr>
      <w:r w:rsidRPr="002D1B37">
        <w:rPr>
          <w:rFonts w:ascii="Times" w:eastAsia="Times New Roman" w:hAnsi="Times" w:cs="Times"/>
          <w:sz w:val="24"/>
          <w:szCs w:val="24"/>
        </w:rPr>
        <w:t>Projektowane rozporządzenie jest zgodne z prawem Unii Europejskie</w:t>
      </w:r>
      <w:r w:rsidR="007A73F8" w:rsidRPr="002D1B37">
        <w:rPr>
          <w:rFonts w:ascii="Times" w:eastAsia="Times New Roman" w:hAnsi="Times" w:cs="Times"/>
          <w:sz w:val="24"/>
          <w:szCs w:val="24"/>
        </w:rPr>
        <w:t xml:space="preserve">j oraz przepisami Europejskiej Konferencji </w:t>
      </w:r>
      <w:r w:rsidR="004B5CE2" w:rsidRPr="002D1B37">
        <w:rPr>
          <w:rFonts w:ascii="Times" w:eastAsia="Times New Roman" w:hAnsi="Times" w:cs="Times"/>
          <w:sz w:val="24"/>
          <w:szCs w:val="24"/>
        </w:rPr>
        <w:t>Administracji Poczty</w:t>
      </w:r>
      <w:r w:rsidR="00B049F5" w:rsidRPr="002D1B37">
        <w:rPr>
          <w:rFonts w:ascii="Times" w:eastAsia="Times New Roman" w:hAnsi="Times" w:cs="Times"/>
          <w:sz w:val="24"/>
          <w:szCs w:val="24"/>
        </w:rPr>
        <w:t xml:space="preserve"> i Telekomunikacji</w:t>
      </w:r>
      <w:r w:rsidR="007A73F8" w:rsidRPr="002D1B37">
        <w:rPr>
          <w:rFonts w:ascii="Times" w:eastAsia="Times New Roman" w:hAnsi="Times" w:cs="Times"/>
          <w:sz w:val="24"/>
          <w:szCs w:val="24"/>
        </w:rPr>
        <w:t xml:space="preserve"> (CEPT).</w:t>
      </w:r>
    </w:p>
    <w:sectPr w:rsidR="009C2EFB" w:rsidRPr="002D1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5A5B8" w16cex:dateUtc="2023-06-15T12:59:00Z"/>
  <w16cex:commentExtensible w16cex:durableId="2835A5EA" w16cex:dateUtc="2023-06-15T12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603812" w16cid:durableId="2835A5B8"/>
  <w16cid:commentId w16cid:paraId="69675489" w16cid:durableId="2835A5E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759"/>
    <w:rsid w:val="00020016"/>
    <w:rsid w:val="00021D52"/>
    <w:rsid w:val="00097516"/>
    <w:rsid w:val="000A60C6"/>
    <w:rsid w:val="000C0310"/>
    <w:rsid w:val="000C6107"/>
    <w:rsid w:val="000E4F91"/>
    <w:rsid w:val="000F3FF7"/>
    <w:rsid w:val="00107EAD"/>
    <w:rsid w:val="00134506"/>
    <w:rsid w:val="00140EAB"/>
    <w:rsid w:val="00173688"/>
    <w:rsid w:val="001A5C29"/>
    <w:rsid w:val="001B384E"/>
    <w:rsid w:val="001C42C9"/>
    <w:rsid w:val="001D0FBC"/>
    <w:rsid w:val="001D30CB"/>
    <w:rsid w:val="001E1781"/>
    <w:rsid w:val="001F29EE"/>
    <w:rsid w:val="00212500"/>
    <w:rsid w:val="00221458"/>
    <w:rsid w:val="00223A85"/>
    <w:rsid w:val="00242BB8"/>
    <w:rsid w:val="0027340B"/>
    <w:rsid w:val="002834CD"/>
    <w:rsid w:val="00286F76"/>
    <w:rsid w:val="002D1B37"/>
    <w:rsid w:val="00305E21"/>
    <w:rsid w:val="0033568A"/>
    <w:rsid w:val="00360AD8"/>
    <w:rsid w:val="00380F04"/>
    <w:rsid w:val="00385FE3"/>
    <w:rsid w:val="00386CFB"/>
    <w:rsid w:val="003B5D48"/>
    <w:rsid w:val="003B6C03"/>
    <w:rsid w:val="003E367F"/>
    <w:rsid w:val="004244EC"/>
    <w:rsid w:val="00457CFD"/>
    <w:rsid w:val="0046742F"/>
    <w:rsid w:val="00473B83"/>
    <w:rsid w:val="00491573"/>
    <w:rsid w:val="0049376C"/>
    <w:rsid w:val="0049542E"/>
    <w:rsid w:val="00497D6F"/>
    <w:rsid w:val="004B5CE2"/>
    <w:rsid w:val="004C6352"/>
    <w:rsid w:val="004D2433"/>
    <w:rsid w:val="004E25D6"/>
    <w:rsid w:val="004F732C"/>
    <w:rsid w:val="00524ECA"/>
    <w:rsid w:val="005354B7"/>
    <w:rsid w:val="0057415B"/>
    <w:rsid w:val="00591022"/>
    <w:rsid w:val="005C368A"/>
    <w:rsid w:val="005C4E3D"/>
    <w:rsid w:val="005C5A19"/>
    <w:rsid w:val="005C7AC1"/>
    <w:rsid w:val="00605B2A"/>
    <w:rsid w:val="0063184E"/>
    <w:rsid w:val="00634D6F"/>
    <w:rsid w:val="006506CB"/>
    <w:rsid w:val="006A0C81"/>
    <w:rsid w:val="006B23C0"/>
    <w:rsid w:val="006C1406"/>
    <w:rsid w:val="006D6018"/>
    <w:rsid w:val="0074489C"/>
    <w:rsid w:val="007449E5"/>
    <w:rsid w:val="00763891"/>
    <w:rsid w:val="00772AA8"/>
    <w:rsid w:val="007A73F8"/>
    <w:rsid w:val="007B12C7"/>
    <w:rsid w:val="007B7521"/>
    <w:rsid w:val="007E1EA5"/>
    <w:rsid w:val="007E7408"/>
    <w:rsid w:val="007F0A23"/>
    <w:rsid w:val="007F6278"/>
    <w:rsid w:val="008249C1"/>
    <w:rsid w:val="008260C5"/>
    <w:rsid w:val="00840395"/>
    <w:rsid w:val="008423FC"/>
    <w:rsid w:val="00844F47"/>
    <w:rsid w:val="00846380"/>
    <w:rsid w:val="00853D59"/>
    <w:rsid w:val="008856C1"/>
    <w:rsid w:val="00893519"/>
    <w:rsid w:val="008B5865"/>
    <w:rsid w:val="008D08C9"/>
    <w:rsid w:val="008F3AF8"/>
    <w:rsid w:val="00911BA5"/>
    <w:rsid w:val="009250E8"/>
    <w:rsid w:val="009508CB"/>
    <w:rsid w:val="00950F93"/>
    <w:rsid w:val="00960A9F"/>
    <w:rsid w:val="00991D05"/>
    <w:rsid w:val="009932CD"/>
    <w:rsid w:val="0099748C"/>
    <w:rsid w:val="009A6FA8"/>
    <w:rsid w:val="009B291D"/>
    <w:rsid w:val="009B3155"/>
    <w:rsid w:val="009B4B2E"/>
    <w:rsid w:val="009C2EFB"/>
    <w:rsid w:val="009D0D60"/>
    <w:rsid w:val="009D71CA"/>
    <w:rsid w:val="00A11E88"/>
    <w:rsid w:val="00A139B3"/>
    <w:rsid w:val="00A271A2"/>
    <w:rsid w:val="00A47D68"/>
    <w:rsid w:val="00A62EC3"/>
    <w:rsid w:val="00A64C03"/>
    <w:rsid w:val="00A95A66"/>
    <w:rsid w:val="00A96103"/>
    <w:rsid w:val="00AA2E54"/>
    <w:rsid w:val="00AB304D"/>
    <w:rsid w:val="00AB3093"/>
    <w:rsid w:val="00AD5AA0"/>
    <w:rsid w:val="00AD7DC5"/>
    <w:rsid w:val="00AF352A"/>
    <w:rsid w:val="00B049F5"/>
    <w:rsid w:val="00B0745A"/>
    <w:rsid w:val="00BD496A"/>
    <w:rsid w:val="00C13AAE"/>
    <w:rsid w:val="00C569A1"/>
    <w:rsid w:val="00C616C0"/>
    <w:rsid w:val="00C712BF"/>
    <w:rsid w:val="00C900C8"/>
    <w:rsid w:val="00CA2553"/>
    <w:rsid w:val="00CB26D8"/>
    <w:rsid w:val="00CD0759"/>
    <w:rsid w:val="00CD2D9B"/>
    <w:rsid w:val="00CE2768"/>
    <w:rsid w:val="00CF4051"/>
    <w:rsid w:val="00D02356"/>
    <w:rsid w:val="00D41C41"/>
    <w:rsid w:val="00D81D93"/>
    <w:rsid w:val="00DB70EE"/>
    <w:rsid w:val="00DB7BF3"/>
    <w:rsid w:val="00DC123A"/>
    <w:rsid w:val="00DC3BB2"/>
    <w:rsid w:val="00DC5F00"/>
    <w:rsid w:val="00DE2308"/>
    <w:rsid w:val="00DF36A3"/>
    <w:rsid w:val="00E41CFE"/>
    <w:rsid w:val="00E41DBB"/>
    <w:rsid w:val="00E522D8"/>
    <w:rsid w:val="00E5362C"/>
    <w:rsid w:val="00E55A3A"/>
    <w:rsid w:val="00ED2603"/>
    <w:rsid w:val="00EF50B3"/>
    <w:rsid w:val="00EF5920"/>
    <w:rsid w:val="00F3103A"/>
    <w:rsid w:val="00F61FB8"/>
    <w:rsid w:val="00FB6606"/>
    <w:rsid w:val="00FF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3BD4E"/>
  <w15:chartTrackingRefBased/>
  <w15:docId w15:val="{500A08E2-6B8C-4619-8D50-4A2A8A60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075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CD075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CD0759"/>
    <w:rPr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D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3D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3D59"/>
    <w:rPr>
      <w:rFonts w:ascii="Helvetica" w:eastAsiaTheme="minorEastAsia" w:hAnsi="Helvetica" w:cs="Helvetica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D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D59"/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3D59"/>
    <w:pPr>
      <w:spacing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D59"/>
    <w:rPr>
      <w:rFonts w:ascii="Segoe UI" w:eastAsiaTheme="minorEastAsia" w:hAnsi="Segoe UI" w:cs="Segoe UI"/>
      <w:color w:val="000000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73B83"/>
    <w:pPr>
      <w:spacing w:after="0" w:line="240" w:lineRule="auto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1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417FC-C865-4BD7-9957-5F42FA738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1149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Polok-Bąk Katarzyna</dc:creator>
  <cp:keywords/>
  <dc:description/>
  <cp:lastModifiedBy>Wykrota Piotr</cp:lastModifiedBy>
  <cp:revision>5</cp:revision>
  <dcterms:created xsi:type="dcterms:W3CDTF">2023-06-14T11:37:00Z</dcterms:created>
  <dcterms:modified xsi:type="dcterms:W3CDTF">2023-06-16T10:28:00Z</dcterms:modified>
</cp:coreProperties>
</file>